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2E" w:rsidRPr="00FE132E" w:rsidRDefault="00FE132E" w:rsidP="00FE132E">
      <w:pPr>
        <w:shd w:val="clear" w:color="auto" w:fill="FFFFFF"/>
        <w:spacing w:after="227" w:line="195" w:lineRule="atLeast"/>
        <w:jc w:val="center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bookmarkStart w:id="0" w:name="_GoBack"/>
      <w:bookmarkEnd w:id="0"/>
      <w:r w:rsidRPr="00FE132E">
        <w:rPr>
          <w:rFonts w:ascii="Arial" w:eastAsia="Times New Roman" w:hAnsi="Arial" w:cs="Arial"/>
          <w:b/>
          <w:bCs/>
          <w:color w:val="0000FF"/>
          <w:sz w:val="48"/>
          <w:szCs w:val="48"/>
          <w:lang w:eastAsia="pl-PL"/>
        </w:rPr>
        <w:t>DANIA W JADŁOSPISIE SĄ PRZYGOTOWYWANE W OPARCIU</w:t>
      </w:r>
      <w:r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 xml:space="preserve"> </w:t>
      </w:r>
      <w:r w:rsidRPr="00FE132E">
        <w:rPr>
          <w:rFonts w:ascii="Arial" w:eastAsia="Times New Roman" w:hAnsi="Arial" w:cs="Arial"/>
          <w:b/>
          <w:bCs/>
          <w:color w:val="0000FF"/>
          <w:sz w:val="48"/>
          <w:szCs w:val="48"/>
          <w:lang w:eastAsia="pl-PL"/>
        </w:rPr>
        <w:t>O</w:t>
      </w:r>
      <w:r>
        <w:rPr>
          <w:rFonts w:ascii="Arial" w:eastAsia="Times New Roman" w:hAnsi="Arial" w:cs="Arial"/>
          <w:b/>
          <w:bCs/>
          <w:color w:val="0000FF"/>
          <w:sz w:val="48"/>
          <w:szCs w:val="48"/>
          <w:lang w:eastAsia="pl-PL"/>
        </w:rPr>
        <w:t xml:space="preserve"> </w:t>
      </w:r>
      <w:r w:rsidRPr="00FE132E">
        <w:rPr>
          <w:rFonts w:ascii="Arial" w:eastAsia="Times New Roman" w:hAnsi="Arial" w:cs="Arial"/>
          <w:b/>
          <w:bCs/>
          <w:color w:val="0000FF"/>
          <w:sz w:val="48"/>
          <w:szCs w:val="48"/>
          <w:lang w:eastAsia="pl-PL"/>
        </w:rPr>
        <w:t>SUBSTANCJE  I  PRODUKTY  POWODUJĄCE  ALERGIE</w:t>
      </w:r>
      <w:r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 xml:space="preserve"> </w:t>
      </w:r>
      <w:r w:rsidRPr="00FE132E">
        <w:rPr>
          <w:rFonts w:ascii="Arial" w:eastAsia="Times New Roman" w:hAnsi="Arial" w:cs="Arial"/>
          <w:b/>
          <w:bCs/>
          <w:color w:val="0000FF"/>
          <w:sz w:val="48"/>
          <w:szCs w:val="48"/>
          <w:lang w:eastAsia="pl-PL"/>
        </w:rPr>
        <w:t>LUB   REAKCJE   NIETOLERANCJI</w:t>
      </w:r>
      <w:r w:rsidRPr="00FE132E">
        <w:rPr>
          <w:rFonts w:ascii="Arial" w:eastAsia="Times New Roman" w:hAnsi="Arial" w:cs="Arial"/>
          <w:b/>
          <w:bCs/>
          <w:color w:val="0000FF"/>
          <w:sz w:val="36"/>
          <w:szCs w:val="36"/>
          <w:lang w:eastAsia="pl-PL"/>
        </w:rPr>
        <w:t> </w:t>
      </w:r>
    </w:p>
    <w:tbl>
      <w:tblPr>
        <w:tblW w:w="10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7"/>
        <w:gridCol w:w="9688"/>
      </w:tblGrid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  <w:t> </w:t>
            </w:r>
          </w:p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  <w:t> </w:t>
            </w:r>
          </w:p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1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Zboża zawierające gluten,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tj. </w:t>
            </w: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 xml:space="preserve">pszenica, żyto, jęczmień, owies, orkisz, </w:t>
            </w:r>
            <w:proofErr w:type="spellStart"/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kamut</w:t>
            </w:r>
            <w:proofErr w:type="spellEnd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lub ich odmiany hybrydowe, a także </w:t>
            </w: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, z wyjątkiem: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a)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syropów glukozowych na bazie pszenicy zawierających dekstrozę;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b)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</w:t>
            </w:r>
            <w:proofErr w:type="spellStart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maltodekstryn</w:t>
            </w:r>
            <w:proofErr w:type="spellEnd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 xml:space="preserve"> na bazie pszenicy;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c)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syropów glukozowych na bazie jęczmienia;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d)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zbóż wykorzystywanych do produkcji destylatów alkoholowych, w tym ` alkoholu etylowego pochodzenia rolniczego;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A3B322"/>
                <w:sz w:val="24"/>
                <w:szCs w:val="24"/>
                <w:lang w:eastAsia="pl-PL"/>
              </w:rPr>
              <w:t>Ziarna zbóż zawierające gluten: </w:t>
            </w: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pszenica, jęczmień, owies, żyto, orkisz, orkisz zielony, pszenica samopsza, pszenica płaskurka, pszenica,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kamut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pszenżyto (odmiany hybrydowe pszenicy oraz żyta)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ziaren zbóż zawierających gluten oraz produktów na ich bazie; </w:t>
            </w: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produkty spożywcze oraz wypieki na bazie powyższych ziaren zbóż: skrobia, mąka, krupczatka, kasza manna, kuskus, kaszka, kukurydziana, kasza jęczmienna, płatki, otręby, produkty pełnoziarniste, kasza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bulgur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kiełki pszenicy.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gluten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makaron, naleśniki, bułka tarta, mieszanki zbóż, mieszanki do wypieków / mieszanki do ciast, chleb, wypieki, torty z kremem, ciastka, herbatniki, słód, piwo słodowe, piwo, kawa zbożowa (słodowa), sosy na bazie zasmażki, napoje na bazie kakao, mieszanki przypraw, sos sojowy, hydrolizowane białko pszeniczne w przyprawach, batony czekoladowe, batony zbożowe, lody z waflem, substancja rozdzielająca w tartym serze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2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Skorupiaki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skorupiaków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krewetki, raki, homary, kraby, kryl, langusty, krewetki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czerwone,rewetki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królewskie, kraby pająkowate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skorupiaki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masło rakowe, pasta z krewetek,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sashimi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prażynki, krewetkowe,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bouillabaisse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paella</w:t>
            </w:r>
            <w:proofErr w:type="spellEnd"/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3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Jaja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  </w:t>
            </w: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(Jaja kurze, jaja gęsie, kacze, indycze, przepiórcze, gołębie oraz strusie)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jaj oraz produktów na bazie jaj ; </w:t>
            </w: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żółtko jaj, białko jaj, ubite białko jaj, jaja w płynie, jaja w proszku, jaja mrożone, substancje oraz produkty spożywcze z przedrostkiem „ovo” (= jajo) w nazwie: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ovomucin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lizozym z jaj (np. w serze), lecytyna z jaj kurzych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jaja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biszkopty / sucharki, tort Pawłowa, bezy, torty z kremem, ciasta,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wypieki,desery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lody, pianka oraz polewy do kaw smakowych, sosy (np. sos holenderski, sos berneński), majonez, spoiwo w mięsie mielonym, panierki,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ciasta, „lepiszcza” na potrzeby zbóż oraz dekoracji na chlebie i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wypiekach,glazura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cukrowa, likier jajeczny oraz inne rodzaje likieru, makaron jajeczny,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lastRenderedPageBreak/>
              <w:t>4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Ryby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, z wyjątkiem: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a)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żelatyny rybnej stosowanej jako nośnik preparatów zawierających witaminy lub karotenoidy;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b)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żelatyny rybnej lub karuku stosowanych jako środki klarujące do piwa i wina;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ryb oraz produktów na bazie ryb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ryby wszelkiego typu: surowe, gotowane oraz marynowane, kawior, ikra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ryby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żelatyna,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kamaboko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(japońskie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), (pasta) anchois, sos Worcester, pikantne sosy / przyprawy (azjatyckie), potrawy regionalne (np. sushi, ryż smażony,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paella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rolki wiosenne,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vitello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tonnato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bouillabaisse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), Krwawa Mary (z sosem Worcester).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C5000B"/>
                <w:sz w:val="59"/>
                <w:szCs w:val="59"/>
                <w:lang w:eastAsia="pl-PL"/>
              </w:rPr>
              <w:t>5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Orzeszki ziemne (arachidowe)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orzeszków ziemnych oraz produktów na ich bazie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olej arachidowy (również w formie tłuszczu do smażenia zanurzeniowego), masło arachidowe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orzeszki ziemne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wegetariańskie zamienniki mięsa, sosy (np. sos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satay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), dressingi, pesto, potrawy regionalne (np. afrykańskie, azjatyckie, meksykańskie), mieszanki orzechów, bakalie</w:t>
            </w:r>
          </w:p>
        </w:tc>
      </w:tr>
      <w:tr w:rsidR="00FE132E" w:rsidRPr="00FE132E" w:rsidTr="00FE132E">
        <w:trPr>
          <w:trHeight w:val="417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C5000B"/>
                <w:sz w:val="59"/>
                <w:szCs w:val="59"/>
                <w:lang w:eastAsia="pl-PL"/>
              </w:rPr>
              <w:t>6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Soja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, z wyjątkiem: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a)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 xml:space="preserve"> całkowicie rafinowanego oleju i tłuszczu </w:t>
            </w:r>
            <w:proofErr w:type="spellStart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sojoweggo</w:t>
            </w:r>
            <w:proofErr w:type="spellEnd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b) 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mieszaniny naturalnych tokoferoli (E306) naturalnego D-alfa-tokoferolu, naturalnego octanu D-alfa-tokoferolu, naturalnego bursztynianu D-alfa-tokoferolu pochodzenia sojowego;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c)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fitosteroli i estrów fitosteroli otrzymanych z olejów roślinnych pochodzenia sojowego;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d)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 xml:space="preserve"> estru </w:t>
            </w:r>
            <w:proofErr w:type="spellStart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stanolu</w:t>
            </w:r>
            <w:proofErr w:type="spellEnd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 xml:space="preserve"> roślinnego produkowanego ze steroli olejów roślinnych pochodzenia sojowego;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soi oraz produktów na bazie soi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ziarno sojowe, mąka sojowa, kasza sojowa, mleko sojowe, desery sojowe, nierafinowany olej sojowy, lecytyna sojowa, białko sojowe, ser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tofu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pasta miso,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tempeh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kiełki soi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soję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przyprawy (sosy sojowe, sos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shoyu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sos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tamari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sos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teriyaki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sos Worcester), wegetariańskie pasty do smarowania pieczywa oraz dania wegetariańskie,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chleb oraz wypieki, burgery, wyroby wędliniarskie, niskotłuszczowe produkty na bazie mięsa mielonego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7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Mleko i produkty pochodne (łącznie z laktozą)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, z wyjątkiem: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a) serwatki wykorzystywanej do produkcji destylatów alkoholowych, w tym alkoholu etylowego pochodzenia rolniczego,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 xml:space="preserve">b) </w:t>
            </w:r>
            <w:proofErr w:type="spellStart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laktitolu</w:t>
            </w:r>
            <w:proofErr w:type="spellEnd"/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Uwaga</w:t>
            </w: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 </w:t>
            </w:r>
            <w:r w:rsidRPr="00FE13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Zazwyczaj w równym stopniu nietolerowane jest mleko kozie, owcze, bawole oraz końskie.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mleka oraz produktów na bazie mleka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białko mleczne, hydrolizat białka mlecznego, kazeina, białko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serwatkowe,laktoalbumina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laktoglobulina, laktoza, mleko, mleko w proszku, serwatka, śmietana, kwaśna śmietana, crème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fraîche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maślanka, mleko zsiadłe, mleko skondensowane, jogurt, kefir, ser, twaróg / ser biały, masło, masło topione.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mleko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margaryna, tłuszcze roślinne do smarowania pieczywa, czekolada,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wypieki,nugat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lody, desery,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zabielacz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do kawy, purée ziemniaczane,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 xml:space="preserve">Ważne!!! Produkty nabiałowe o niskiej zawartości laktozy, takie jak na przykład dojrzały ser czy mleko </w:t>
            </w:r>
            <w:proofErr w:type="spellStart"/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>bezlaktozowe</w:t>
            </w:r>
            <w:proofErr w:type="spellEnd"/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>, są często tolerowane w przypadku nietolerancji laktozy, jednakże w żadnym wypadku nie są one odpowiednie dla osób uczulonych na białka mleka.</w:t>
            </w:r>
          </w:p>
        </w:tc>
      </w:tr>
      <w:tr w:rsidR="00FE132E" w:rsidRPr="00FE132E" w:rsidTr="00FE132E">
        <w:trPr>
          <w:trHeight w:val="102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lastRenderedPageBreak/>
              <w:t>8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Orzechy</w:t>
            </w: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 xml:space="preserve">, tj. migdały, orzechy laskowe, orzechy włoskie, orzechy nerkowca, orzeszki </w:t>
            </w:r>
            <w:proofErr w:type="spellStart"/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pekan</w:t>
            </w:r>
            <w:proofErr w:type="spellEnd"/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 xml:space="preserve">, orzechy brazylijskie,  pistacje/orzechy pistacjowe, orzechy makadamia lub orzechy </w:t>
            </w:r>
            <w:proofErr w:type="spellStart"/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Queens</w:t>
            </w:r>
            <w:proofErr w:type="spellEnd"/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-land, a także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z wyjątkiem orzechów wykorzystywanych do produkcji destylatów alkoholowych, w tym alkoholu etylowego pochodzenia rolniczego;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orzechów oraz produktów na bazie orzechów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olej z orzechów włoskich, olej z orzechów laskowych, olej migdałowy, krem orzechowy do smarowania pieczywa, pasta orzechowa, masło orzechowe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 xml:space="preserve">Warto wiedzieć... Kokosy oraz orzeszki pinii nie zaliczają się </w:t>
            </w:r>
            <w:proofErr w:type="spellStart"/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>doorzechów</w:t>
            </w:r>
            <w:proofErr w:type="spellEnd"/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>, które należy uwzględnić w opisie jako alergeny.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orzechy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marcepan, nugat, krem orzechowo-nugatowy do smarowania pieczywa, torty z kremem, ciasta, wypieki, desery, makaroniki, czekolada, bakalie, gotowe przekąski,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musli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sosy do sałatek, pesto oraz pozostałe sosy, dressingi do sałatek, dania wegetariańskie, chleb z orzechami, mortadela (z orzechami pistacjowymi), produkty o smaku kawowym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9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Seler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selera oraz produktów na bazie selera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seler korzeniowy (korzeń selera naciowego), ziarna selera, łodyga selera, liść selera, soki warzywne z zawartością selera, sól selerowa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seler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mieszanki przypraw, curry, buliony, zupy, mięsa duszone z jarzynami, sosy, produkty wędliniarskie oraz mięsne, sałatki delikatesowe, sałatki warzywne, sałatka ziemniaczana (z bulionem), pikantne przystawki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8D2708"/>
                <w:sz w:val="24"/>
                <w:szCs w:val="24"/>
                <w:lang w:eastAsia="pl-PL"/>
              </w:rPr>
              <w:t>Warto wiedzieć... Seler – jego korzeń, łodygę oraz liście – wykorzystuje się tradycyjnie na potrzeby przygotowania bulionów, zup oraz sosów.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10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Gorczyca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gorczycy oraz produktów na bazie gorczycy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ziarno gorczycy, musztarda, olej gorczycowy, kiełkujące nasiona gorczycy, liście oraz kwiaty gorczycy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gorczycę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wędliny, produkty mięsne: rolady, potrawy curry, mieszanki przypraw, warzywa konserwowe, marynaty, zupy, sosy, sosy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chutney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sałatki delikatesowe.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11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Nasiona sezamu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sezamu oraz produktów na bazie sezamu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ziarno sezamowe, olej sezamowy, pasta sezamowa, masło sezamowe, mąka sezamowa, sól sezamowa.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sezam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Bułki do hamburgerów, chleb, wypieki, krakersy, płatki śniadaniowe, desery, zastosowania w obrębie kuchni azjatyckiej, tureckiej oraz orientalnej,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falafel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humus,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mutabal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(syryjska pasta z bakłażana)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  <w:t> 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lastRenderedPageBreak/>
              <w:t>12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Dwutlenek siarki i siarczyny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w stężeniach powyżej 10 mg/kg lub 10 mg/litr w przeliczeniu na całkowitą zawartość SO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vertAlign w:val="subscript"/>
                <w:lang w:eastAsia="pl-PL"/>
              </w:rPr>
              <w:t>2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 dla produktów w postaci gotowej bezpośrednio do spożycia lub w postaci przygotowanej do spożycia zgodnie z instrukcjami wytwórców;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dwutlenku siarki oraz siarczynów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E220-228: dwutlenek siarki oraz sole kwasu siarkawego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siarczyny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wino (z zawartością siarczynów), inne napoje alkoholowe, suszone owoce (w szczególności te, które muszą zachować jasny kolor), produkty na bazie tartego chrzanu; mniejsze ilości, na przykład takie, z jakimi mamy do czynienia w przypadku błyskawicznego purée ziemniaczanego, częstokroć nie przekraczają poziomu pociągającego za sobą wymóg uwzględnienia w opisie</w:t>
            </w:r>
          </w:p>
        </w:tc>
      </w:tr>
      <w:tr w:rsidR="00FE132E" w:rsidRPr="00FE132E" w:rsidTr="00FE132E">
        <w:trPr>
          <w:trHeight w:val="270"/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13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227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Łubin i produkty pochodne</w:t>
            </w:r>
            <w:r w:rsidRPr="00FE132E">
              <w:rPr>
                <w:rFonts w:ascii="Arial" w:eastAsia="Times New Roman" w:hAnsi="Arial" w:cs="Arial"/>
                <w:color w:val="084001"/>
                <w:sz w:val="24"/>
                <w:szCs w:val="24"/>
                <w:lang w:eastAsia="pl-PL"/>
              </w:rPr>
              <w:t>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łubiny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mąka łubinowa, białka roślinne (łubiny) w wypiekach oraz w wegetariańskich zamiennikach mięsa, kiełki łubinu.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59"/>
                <w:szCs w:val="59"/>
                <w:lang w:eastAsia="pl-PL"/>
              </w:rPr>
              <w:t>14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b/>
                <w:bCs/>
                <w:color w:val="084001"/>
                <w:sz w:val="24"/>
                <w:szCs w:val="24"/>
                <w:lang w:eastAsia="pl-PL"/>
              </w:rPr>
              <w:t>Mięczaki i produkty pochodne;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  <w:t> 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Oznaczenia stosowne dla mięczaków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omułki (małże, omułki jadalne, przegrzebki, ostrygi), ślimaki,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uchowce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głowonogi (kałamarnice): kalmary, ośmiorniczki, mątwy, ośmiornic.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612E"/>
                <w:sz w:val="24"/>
                <w:szCs w:val="24"/>
                <w:lang w:eastAsia="pl-PL"/>
              </w:rPr>
              <w:t>Produkty spożywcze, które zawierają lub mogą zawierać mięczaki</w:t>
            </w:r>
          </w:p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sepia, czarny makaron z owocami morza,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surimi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sashimi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bouillabaisse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 </w:t>
            </w:r>
            <w:proofErr w:type="spellStart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paella</w:t>
            </w:r>
            <w:proofErr w:type="spellEnd"/>
            <w:r w:rsidRPr="00FE1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FE132E" w:rsidRPr="00FE132E" w:rsidRDefault="00FE132E" w:rsidP="00FE13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8"/>
        <w:gridCol w:w="9797"/>
      </w:tblGrid>
      <w:tr w:rsidR="00FE132E" w:rsidRPr="00FE132E" w:rsidTr="00FE13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  <w:t> </w:t>
            </w:r>
          </w:p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pl-PL"/>
              </w:rPr>
              <w:t>DODATKOWE   SKŁADNIKI , KTÓRE  MOGĄ  BYĆ  ZAWARTE  W  ŻYWNOŚCI</w:t>
            </w:r>
          </w:p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  <w:t> 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A-1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sezam, soję, gluten,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A-2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gluten, soję, mleko,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A-3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soję, mleko,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A-4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mleko, orzechy,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A-5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gorczycę, gluten, orzechy, mleko,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A-6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gluten, białko mleko, seler, gorczycę</w:t>
            </w:r>
          </w:p>
        </w:tc>
      </w:tr>
      <w:tr w:rsidR="00FE132E" w:rsidRPr="00FE132E" w:rsidTr="00FE132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C5000B"/>
                <w:sz w:val="48"/>
                <w:szCs w:val="48"/>
                <w:lang w:eastAsia="pl-PL"/>
              </w:rPr>
              <w:t>A-7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32E" w:rsidRPr="00FE132E" w:rsidRDefault="00FE132E" w:rsidP="00FE132E">
            <w:pPr>
              <w:spacing w:after="0" w:line="240" w:lineRule="auto"/>
              <w:rPr>
                <w:rFonts w:ascii="Tahoma" w:eastAsia="Times New Roman" w:hAnsi="Tahoma" w:cs="Tahoma"/>
                <w:color w:val="084001"/>
                <w:sz w:val="24"/>
                <w:szCs w:val="24"/>
                <w:lang w:eastAsia="pl-PL"/>
              </w:rPr>
            </w:pPr>
            <w:r w:rsidRPr="00FE132E">
              <w:rPr>
                <w:rFonts w:ascii="Tahoma" w:eastAsia="Times New Roman" w:hAnsi="Tahoma" w:cs="Tahoma"/>
                <w:b/>
                <w:bCs/>
                <w:color w:val="084001"/>
                <w:sz w:val="24"/>
                <w:szCs w:val="24"/>
                <w:lang w:eastAsia="pl-PL"/>
              </w:rPr>
              <w:t>Produkt może zawierać ; jaja, mleko, gluten, seler, gorczyca, sezam</w:t>
            </w:r>
          </w:p>
        </w:tc>
      </w:tr>
    </w:tbl>
    <w:p w:rsidR="0064670C" w:rsidRPr="00FE132E" w:rsidRDefault="00FE132E" w:rsidP="00FE13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84001"/>
          <w:sz w:val="24"/>
          <w:szCs w:val="24"/>
          <w:lang w:eastAsia="pl-PL"/>
        </w:rPr>
      </w:pPr>
      <w:r w:rsidRPr="00FE132E">
        <w:rPr>
          <w:rFonts w:ascii="Tahoma" w:eastAsia="Times New Roman" w:hAnsi="Tahoma" w:cs="Tahoma"/>
          <w:color w:val="084001"/>
          <w:sz w:val="24"/>
          <w:szCs w:val="24"/>
          <w:lang w:eastAsia="pl-PL"/>
        </w:rPr>
        <w:t> </w:t>
      </w:r>
    </w:p>
    <w:sectPr w:rsidR="0064670C" w:rsidRPr="00FE132E" w:rsidSect="00FE1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2E"/>
    <w:rsid w:val="0064670C"/>
    <w:rsid w:val="00A76C1D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3A94-9734-47C5-8B0F-FD841BF2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intedent</dc:creator>
  <cp:keywords/>
  <dc:description/>
  <cp:lastModifiedBy>intedent</cp:lastModifiedBy>
  <cp:revision>2</cp:revision>
  <dcterms:created xsi:type="dcterms:W3CDTF">2022-09-29T13:14:00Z</dcterms:created>
  <dcterms:modified xsi:type="dcterms:W3CDTF">2022-09-29T13:14:00Z</dcterms:modified>
</cp:coreProperties>
</file>